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320"/>
        <w:gridCol w:w="5280"/>
      </w:tblGrid>
      <w:tr>
        <w:trPr>
          <w:trHeight w:val="719" w:hRule="auto"/>
          <w:jc w:val="left"/>
        </w:trPr>
        <w:tc>
          <w:tcPr>
            <w:tcW w:w="4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ỦY BAN TH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ƯỜNG VỤ QUỐC HỘI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Số: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784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/NQ-UBTVQH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CỘNG HÒA XÃ HỘI CHỦ NGHĨA VIỆT NAM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Độc lập – Tự do – Hạnh phúc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Hà Nội, ngày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tháng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ăm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2019</w:t>
            </w:r>
          </w:p>
        </w:tc>
      </w:tr>
    </w:tbl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120" w:after="0" w:line="3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NGHỊ QUYẾT</w:t>
      </w:r>
    </w:p>
    <w:p>
      <w:pPr>
        <w:spacing w:before="120" w:after="0" w:line="3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Về việc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chỉnh kế hoạch đầu tư trung hạn vốn nước ngo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ài giai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đoạn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2016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cho các dự án 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ã có trong kế hoạch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đầu tư công trung hạn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ỦY BAN 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ƯỜNG VỤ QUỐC HỘI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</w:p>
    <w:p>
      <w:pPr>
        <w:spacing w:before="12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ăn cứ Hiến pháp nước Cộng h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òa xã hội chủ nghĩa Việt Nam;</w:t>
      </w:r>
    </w:p>
    <w:p>
      <w:pPr>
        <w:spacing w:before="12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ăn cứ Luật Đầu tư công số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49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2014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/QH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;</w:t>
      </w:r>
    </w:p>
    <w:p>
      <w:pPr>
        <w:spacing w:before="12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ăn cứ Luật Ngân sách nh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à 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ước số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83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2015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/QH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;</w:t>
      </w:r>
    </w:p>
    <w:p>
      <w:pPr>
        <w:spacing w:before="12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ăn cứ Nghị quyết số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26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2016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/QH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của Quốc hội;</w:t>
      </w:r>
    </w:p>
    <w:p>
      <w:pPr>
        <w:spacing w:before="12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ăn cứ Nghị quyết số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71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2018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/QH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của Quốc hội;</w:t>
      </w:r>
    </w:p>
    <w:p>
      <w:pPr>
        <w:spacing w:before="12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Sau khi xem xét 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ờ trì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số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180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/TTr-CP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ngà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08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tháng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05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năm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2019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; Báo cáo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thẩ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m tra số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1515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/BC-UBTCNS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ngày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tháng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05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năm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2019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của Ủy ban Tài chính - Ngân sách về việc điều chỉnh kế hoạch đầu tư trung hạn vốn nước ngoài giai đoạn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2016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2020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cho các dự án đ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 có trong kế hoạch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đầu tư công trung hạn,</w:t>
      </w:r>
    </w:p>
    <w:p>
      <w:pPr>
        <w:spacing w:before="12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12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QUYẾT NGHỊ:</w:t>
      </w:r>
    </w:p>
    <w:p>
      <w:pPr>
        <w:spacing w:before="12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</w:t>
      </w:r>
    </w:p>
    <w:p>
      <w:pPr>
        <w:spacing w:before="12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Điều chỉnh giảm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797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054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triệu đồng của các dự án không có khả năng giải ngân hết trong kỳ kế hoạch để bổ sung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dự phòng chung vốn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 ngoài giai đoạn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theo Phụ lục số I kèm theo Nghị quyết này.</w:t>
      </w:r>
    </w:p>
    <w:p>
      <w:pPr>
        <w:spacing w:before="12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Chuyển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triệu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kế hoạch đầu tư vốn nước ngo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dự kiến phân bổ cho các dự án thuộc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mục tiêu ứng phó với biến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đổi khí hậu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ăng trưởng xanh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dự phòng chung kế hoạch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đầu tư công trung hạn vốn nước ngo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ài giai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đoạn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theo Phụ lục số II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èm theo Nghị quyết này.</w:t>
      </w:r>
    </w:p>
    <w:p>
      <w:pPr>
        <w:spacing w:before="12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</w:p>
    <w:p>
      <w:pPr>
        <w:spacing w:before="12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Cho phép sử dụng nguồn vốn dự phòng chung vốn n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ước ngoài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819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500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triệu đồng để bổ sung kế hoạch đầu tư công trung hạn vốn nước ngoài cho các dự án chuyển tiếp đ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ã có trong kế hoạch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đầu tư công trung hạn vốn nước ngo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ài giai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đoạn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2016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2020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òn thiếu vốn theo Phụ lục số III kèm theo Nghị quyết này, trong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đó:</w:t>
      </w:r>
    </w:p>
    <w:p>
      <w:pPr>
        <w:spacing w:before="12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Từ nguồn dự phòng chung vốn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 ngoài trong kế hoạch đầu tư công trung hạn giai đoạn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 lại: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966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triệu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đồng;</w:t>
      </w:r>
    </w:p>
    <w:p>
      <w:pPr>
        <w:spacing w:before="12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Từ các nguồn vốn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tại Điều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Nghị quyết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853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triệu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đồng.</w:t>
      </w:r>
    </w:p>
    <w:p>
      <w:pPr>
        <w:spacing w:before="12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</w:p>
    <w:p>
      <w:pPr>
        <w:spacing w:before="12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Giao Chính phủ chỉ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Bộ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cơ quan trung ương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địa phương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quan khẩn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triển khai thực hiện, quản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việc sử dụng vốn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đúng quy định của pháp luật, đúng mục đích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đạt hiệu quả cao.</w:t>
      </w:r>
    </w:p>
    <w:p>
      <w:pPr>
        <w:spacing w:before="120" w:after="0" w:line="36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</w:t>
      </w:r>
    </w:p>
    <w:p>
      <w:pPr>
        <w:spacing w:before="12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Ủy ban Tài chính - Ngân sách, Hội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dân tộc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các Ủy ban khác của Quốc hội,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đại biểu Quốc hội, đại biểu Quốc hội, Hội đồng nhân dân các cấp, Kiểm toán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ước, Thanh tra Chính phủ trong phạm vi nhiệm vụ, quyền hạn theo quy định của pháp luật giám sát, kiểm toán, thanh tra việc thực hiện Nghị quyết này./. </w:t>
      </w:r>
    </w:p>
    <w:p>
      <w:pPr>
        <w:spacing w:before="120" w:after="0" w:line="36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16"/>
          <w:shd w:fill="auto" w:val="clear"/>
        </w:rPr>
      </w:pPr>
    </w:p>
    <w:tbl>
      <w:tblPr/>
      <w:tblGrid>
        <w:gridCol w:w="4428"/>
        <w:gridCol w:w="4880"/>
      </w:tblGrid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8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ơi nhận:</w:t>
            </w:r>
          </w:p>
          <w:p>
            <w:pPr>
              <w:spacing w:before="0" w:after="0" w:line="28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Chủ tịch Quốc hội;</w:t>
            </w:r>
          </w:p>
          <w:p>
            <w:pPr>
              <w:spacing w:before="0" w:after="0" w:line="28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Thủ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ướng Chính phủ;</w:t>
            </w:r>
          </w:p>
          <w:p>
            <w:pPr>
              <w:spacing w:before="0" w:after="0" w:line="28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Các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PCTQH, Ủy viên UBTVQH;</w:t>
            </w:r>
          </w:p>
          <w:p>
            <w:pPr>
              <w:spacing w:before="0" w:after="0" w:line="28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TTH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ĐDT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à các UB của QH;</w:t>
            </w:r>
          </w:p>
          <w:p>
            <w:pPr>
              <w:spacing w:before="0" w:after="0" w:line="28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VPT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 Đảng, VPCTN, VPQH, VPCP;</w:t>
            </w:r>
          </w:p>
          <w:p>
            <w:pPr>
              <w:spacing w:before="0" w:after="0" w:line="2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2"/>
                <w:shd w:fill="auto" w:val="clear"/>
              </w:rPr>
              <w:t xml:space="preserve">Các bộ: Tài chính; KH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2"/>
                <w:shd w:fill="auto" w:val="clear"/>
              </w:rPr>
              <w:t xml:space="preserve">ĐT; </w:t>
            </w:r>
          </w:p>
          <w:p>
            <w:pPr>
              <w:spacing w:before="0" w:after="0" w:line="2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2"/>
                <w:shd w:fill="auto" w:val="clear"/>
              </w:rPr>
              <w:t xml:space="preserve">- Kiểm toán nhà n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2"/>
                <w:shd w:fill="auto" w:val="clear"/>
              </w:rPr>
              <w:t xml:space="preserve">ước, Thanh tra Chính phủ</w:t>
            </w:r>
          </w:p>
          <w:p>
            <w:pPr>
              <w:spacing w:before="0" w:after="0" w:line="28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ưu: HC, TCNS.</w:t>
            </w:r>
          </w:p>
          <w:p>
            <w:pPr>
              <w:spacing w:before="0" w:after="0" w:line="28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E-pas: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84711</w:t>
            </w:r>
          </w:p>
        </w:tc>
        <w:tc>
          <w:tcPr>
            <w:tcW w:w="4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6840" w:leader="none"/>
              </w:tabs>
              <w:spacing w:before="24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TM. ỦY BAN TH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ƯỜNG VỤ QUỐC HỘI</w:t>
            </w:r>
          </w:p>
          <w:p>
            <w:pPr>
              <w:tabs>
                <w:tab w:val="center" w:pos="684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CHỦ TỊ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CH</w:t>
            </w:r>
          </w:p>
          <w:p>
            <w:pPr>
              <w:spacing w:before="720" w:after="7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ã ký)</w:t>
            </w:r>
          </w:p>
          <w:p>
            <w:pPr>
              <w:spacing w:before="240" w:after="0" w:line="3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Nguyễn Thị Kim Ngân</w:t>
            </w:r>
          </w:p>
        </w:tc>
      </w:tr>
    </w:tbl>
    <w:p>
      <w:pPr>
        <w:spacing w:before="120" w:after="0" w:line="3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