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224"/>
        <w:gridCol w:w="6132"/>
      </w:tblGrid>
      <w:tr>
        <w:trPr>
          <w:trHeight w:val="1" w:hRule="atLeast"/>
          <w:jc w:val="left"/>
        </w:trPr>
        <w:tc>
          <w:tcPr>
            <w:tcW w:w="32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BỘ TÀI CHÍNH</w:t>
            </w:r>
          </w:p>
        </w:tc>
        <w:tc>
          <w:tcPr>
            <w:tcW w:w="61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color w:val="auto"/>
                <w:spacing w:val="0"/>
                <w:position w:val="0"/>
                <w:shd w:fill="auto" w:val="clear"/>
              </w:rPr>
            </w:pPr>
          </w:p>
        </w:tc>
      </w:tr>
      <w:tr>
        <w:trPr>
          <w:trHeight w:val="1" w:hRule="atLeast"/>
          <w:jc w:val="left"/>
        </w:trPr>
        <w:tc>
          <w:tcPr>
            <w:tcW w:w="32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Số: 12/2019/TT-BTC</w:t>
            </w:r>
          </w:p>
        </w:tc>
        <w:tc>
          <w:tcPr>
            <w:tcW w:w="61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13 tháng 3 n</w:t>
            </w:r>
            <w:r>
              <w:rPr>
                <w:rFonts w:ascii="Times New Roman" w:hAnsi="Times New Roman" w:cs="Times New Roman" w:eastAsia="Times New Roman"/>
                <w:i/>
                <w:color w:val="auto"/>
                <w:spacing w:val="0"/>
                <w:position w:val="0"/>
                <w:sz w:val="28"/>
                <w:shd w:fill="auto" w:val="clear"/>
              </w:rPr>
              <w:t xml:space="preserve">ăm 2019</w:t>
            </w:r>
          </w:p>
        </w:tc>
      </w:tr>
    </w:tbl>
    <w:p>
      <w:pPr>
        <w:spacing w:before="60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 xml:space="preserve">            </w:t>
        <w:tab/>
      </w: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chi phí sử dụng ngân quỹ nh</w:t>
      </w:r>
      <w:r>
        <w:rPr>
          <w:rFonts w:ascii="Times New Roman" w:hAnsi="Times New Roman" w:cs="Times New Roman" w:eastAsia="Times New Roman"/>
          <w:b/>
          <w:color w:val="auto"/>
          <w:spacing w:val="0"/>
          <w:position w:val="0"/>
          <w:sz w:val="28"/>
          <w:shd w:fill="auto" w:val="clear"/>
        </w:rPr>
        <w:t xml:space="preserve">à n</w:t>
      </w:r>
      <w:r>
        <w:rPr>
          <w:rFonts w:ascii="Times New Roman" w:hAnsi="Times New Roman" w:cs="Times New Roman" w:eastAsia="Times New Roman"/>
          <w:b/>
          <w:color w:val="auto"/>
          <w:spacing w:val="0"/>
          <w:position w:val="0"/>
          <w:sz w:val="28"/>
          <w:shd w:fill="auto" w:val="clear"/>
        </w:rPr>
        <w:t xml:space="preserve">ước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của ngân sách nhà n</w:t>
      </w:r>
      <w:r>
        <w:rPr>
          <w:rFonts w:ascii="Times New Roman" w:hAnsi="Times New Roman" w:cs="Times New Roman" w:eastAsia="Times New Roman"/>
          <w:b/>
          <w:color w:val="auto"/>
          <w:spacing w:val="0"/>
          <w:position w:val="0"/>
          <w:sz w:val="28"/>
          <w:shd w:fill="auto" w:val="clear"/>
        </w:rPr>
        <w:t xml:space="preserve">ước </w:t>
      </w:r>
    </w:p>
    <w:p>
      <w:pPr>
        <w:spacing w:before="24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quản lý nợ công ng</w:t>
      </w:r>
      <w:r>
        <w:rPr>
          <w:rFonts w:ascii="Times New Roman" w:hAnsi="Times New Roman" w:cs="Times New Roman" w:eastAsia="Times New Roman"/>
          <w:i/>
          <w:color w:val="000000"/>
          <w:spacing w:val="0"/>
          <w:position w:val="0"/>
          <w:sz w:val="28"/>
          <w:shd w:fill="auto" w:val="clear"/>
        </w:rPr>
        <w:t xml:space="preserve">ày 23 tháng 11 n</w:t>
      </w:r>
      <w:r>
        <w:rPr>
          <w:rFonts w:ascii="Times New Roman" w:hAnsi="Times New Roman" w:cs="Times New Roman" w:eastAsia="Times New Roman"/>
          <w:i/>
          <w:color w:val="000000"/>
          <w:spacing w:val="0"/>
          <w:position w:val="0"/>
          <w:sz w:val="28"/>
          <w:shd w:fill="auto" w:val="clear"/>
        </w:rPr>
        <w:t xml:space="preserve">ăm 2017</w:t>
      </w:r>
      <w:r>
        <w:rPr>
          <w:rFonts w:ascii="Times New Roman" w:hAnsi="Times New Roman" w:cs="Times New Roman" w:eastAsia="Times New Roman"/>
          <w:i/>
          <w:color w:val="auto"/>
          <w:spacing w:val="0"/>
          <w:position w:val="0"/>
          <w:sz w:val="28"/>
          <w:shd w:fill="auto" w:val="clear"/>
        </w:rPr>
        <w:t xml:space="preserve">;Căn cứ Nghị định số 24/2016/NĐ-CP ng</w:t>
      </w:r>
      <w:r>
        <w:rPr>
          <w:rFonts w:ascii="Times New Roman" w:hAnsi="Times New Roman" w:cs="Times New Roman" w:eastAsia="Times New Roman"/>
          <w:i/>
          <w:color w:val="auto"/>
          <w:spacing w:val="0"/>
          <w:position w:val="0"/>
          <w:sz w:val="28"/>
          <w:shd w:fill="auto" w:val="clear"/>
        </w:rPr>
        <w:t xml:space="preserve">ày 05 tháng 4 n</w:t>
      </w:r>
      <w:r>
        <w:rPr>
          <w:rFonts w:ascii="Times New Roman" w:hAnsi="Times New Roman" w:cs="Times New Roman" w:eastAsia="Times New Roman"/>
          <w:i/>
          <w:color w:val="auto"/>
          <w:spacing w:val="0"/>
          <w:position w:val="0"/>
          <w:sz w:val="28"/>
          <w:shd w:fill="auto" w:val="clear"/>
        </w:rPr>
        <w:t xml:space="preserve">ăm 2016 của Chính phủ quy định chế độ quản lý ngân quỹ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163/2016/NĐ-CP ng</w:t>
      </w:r>
      <w:r>
        <w:rPr>
          <w:rFonts w:ascii="Times New Roman" w:hAnsi="Times New Roman" w:cs="Times New Roman" w:eastAsia="Times New Roman"/>
          <w:i/>
          <w:color w:val="auto"/>
          <w:spacing w:val="0"/>
          <w:position w:val="0"/>
          <w:sz w:val="28"/>
          <w:shd w:fill="auto" w:val="clear"/>
        </w:rPr>
        <w:t xml:space="preserve">ày 21 tháng 12 n</w:t>
      </w:r>
      <w:r>
        <w:rPr>
          <w:rFonts w:ascii="Times New Roman" w:hAnsi="Times New Roman" w:cs="Times New Roman" w:eastAsia="Times New Roman"/>
          <w:i/>
          <w:color w:val="auto"/>
          <w:spacing w:val="0"/>
          <w:position w:val="0"/>
          <w:sz w:val="28"/>
          <w:shd w:fill="auto" w:val="clear"/>
        </w:rPr>
        <w:t xml:space="preserve">ăm 2016 của Chính phủ quy định chi tiết thi h</w:t>
      </w:r>
      <w:r>
        <w:rPr>
          <w:rFonts w:ascii="Times New Roman" w:hAnsi="Times New Roman" w:cs="Times New Roman" w:eastAsia="Times New Roman"/>
          <w:i/>
          <w:color w:val="auto"/>
          <w:spacing w:val="0"/>
          <w:position w:val="0"/>
          <w:sz w:val="28"/>
          <w:shd w:fill="auto" w:val="clear"/>
        </w:rPr>
        <w:t xml:space="preserve">ành một số </w:t>
      </w:r>
      <w:r>
        <w:rPr>
          <w:rFonts w:ascii="Times New Roman" w:hAnsi="Times New Roman" w:cs="Times New Roman" w:eastAsia="Times New Roman"/>
          <w:i/>
          <w:color w:val="auto"/>
          <w:spacing w:val="0"/>
          <w:position w:val="0"/>
          <w:sz w:val="28"/>
          <w:shd w:fill="auto" w:val="clear"/>
        </w:rPr>
        <w:t xml:space="preserve">điều của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20" w:after="120" w:line="24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93/2018/NĐ-CP ng</w:t>
      </w:r>
      <w:r>
        <w:rPr>
          <w:rFonts w:ascii="Times New Roman" w:hAnsi="Times New Roman" w:cs="Times New Roman" w:eastAsia="Times New Roman"/>
          <w:i/>
          <w:color w:val="000000"/>
          <w:spacing w:val="0"/>
          <w:position w:val="0"/>
          <w:sz w:val="28"/>
          <w:shd w:fill="auto" w:val="clear"/>
        </w:rPr>
        <w:t xml:space="preserve">ày 30 tháng 6 n</w:t>
      </w:r>
      <w:r>
        <w:rPr>
          <w:rFonts w:ascii="Times New Roman" w:hAnsi="Times New Roman" w:cs="Times New Roman" w:eastAsia="Times New Roman"/>
          <w:i/>
          <w:color w:val="000000"/>
          <w:spacing w:val="0"/>
          <w:position w:val="0"/>
          <w:sz w:val="28"/>
          <w:shd w:fill="auto" w:val="clear"/>
        </w:rPr>
        <w:t xml:space="preserve">ăm 2018 của Chính phủ quy định về quản lý nợ của chính quyền địa phương;</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94/2018/NĐ-CP ng</w:t>
      </w:r>
      <w:r>
        <w:rPr>
          <w:rFonts w:ascii="Times New Roman" w:hAnsi="Times New Roman" w:cs="Times New Roman" w:eastAsia="Times New Roman"/>
          <w:i/>
          <w:color w:val="auto"/>
          <w:spacing w:val="0"/>
          <w:position w:val="0"/>
          <w:sz w:val="28"/>
          <w:shd w:fill="auto" w:val="clear"/>
        </w:rPr>
        <w:t xml:space="preserve">ày 30 tháng 6 n</w:t>
      </w:r>
      <w:r>
        <w:rPr>
          <w:rFonts w:ascii="Times New Roman" w:hAnsi="Times New Roman" w:cs="Times New Roman" w:eastAsia="Times New Roman"/>
          <w:i/>
          <w:color w:val="auto"/>
          <w:spacing w:val="0"/>
          <w:position w:val="0"/>
          <w:sz w:val="28"/>
          <w:shd w:fill="auto" w:val="clear"/>
        </w:rPr>
        <w:t xml:space="preserve">ăm 2018 của Chính phủ về nghiệp vụ quản lý nợ công;</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87/2017/NĐ-CP ng</w:t>
      </w:r>
      <w:r>
        <w:rPr>
          <w:rFonts w:ascii="Times New Roman" w:hAnsi="Times New Roman" w:cs="Times New Roman" w:eastAsia="Times New Roman"/>
          <w:i/>
          <w:color w:val="000000"/>
          <w:spacing w:val="0"/>
          <w:position w:val="0"/>
          <w:sz w:val="28"/>
          <w:shd w:fill="auto" w:val="clear"/>
        </w:rPr>
        <w:t xml:space="preserve">ày 26 tháng 7 n</w:t>
      </w:r>
      <w:r>
        <w:rPr>
          <w:rFonts w:ascii="Times New Roman" w:hAnsi="Times New Roman" w:cs="Times New Roman" w:eastAsia="Times New Roman"/>
          <w:i/>
          <w:color w:val="000000"/>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000000"/>
          <w:spacing w:val="0"/>
          <w:position w:val="0"/>
          <w:sz w:val="28"/>
          <w:shd w:fill="auto" w:val="clear"/>
        </w:rPr>
        <w:t xml:space="preserve">à c</w:t>
      </w:r>
      <w:r>
        <w:rPr>
          <w:rFonts w:ascii="Times New Roman" w:hAnsi="Times New Roman" w:cs="Times New Roman" w:eastAsia="Times New Roman"/>
          <w:i/>
          <w:color w:val="000000"/>
          <w:spacing w:val="0"/>
          <w:position w:val="0"/>
          <w:sz w:val="28"/>
          <w:shd w:fill="auto" w:val="clear"/>
        </w:rPr>
        <w:t xml:space="preserve">ơ cấu tổ chức của Bộ Tài chính;</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Tổng Giám đốc Kho bạc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chi phí sử dụng ngân quỹ nhà nước của ngân sách nhà nước.</w:t>
      </w:r>
    </w:p>
    <w:p>
      <w:pPr>
        <w:spacing w:before="36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1. Phạm vi điều chỉnh</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Thông t</w:t>
      </w:r>
      <w:r>
        <w:rPr>
          <w:rFonts w:ascii="Times New Roman" w:hAnsi="Times New Roman" w:cs="Times New Roman" w:eastAsia="Times New Roman"/>
          <w:color w:val="000000"/>
          <w:spacing w:val="0"/>
          <w:position w:val="0"/>
          <w:sz w:val="28"/>
          <w:shd w:fill="auto" w:val="clear"/>
        </w:rPr>
        <w:t xml:space="preserve">ư này quy định chi phí sử dụng ngân quỹ nhà nước khi ngân sách trung ương và ngân sách cấp tỉnh tạm ứng, vay ngân quỹ nhà nước.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2. Đối tượng áp dụng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Bộ Tài chính.</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Ủy ban nhân dân các tỉnh, thành phố trực thuộc trung </w:t>
      </w:r>
      <w:r>
        <w:rPr>
          <w:rFonts w:ascii="Times New Roman" w:hAnsi="Times New Roman" w:cs="Times New Roman" w:eastAsia="Times New Roman"/>
          <w:color w:val="000000"/>
          <w:spacing w:val="0"/>
          <w:position w:val="0"/>
          <w:sz w:val="28"/>
          <w:shd w:fill="auto" w:val="clear"/>
        </w:rPr>
        <w:t xml:space="preserve">ương.</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Kho bạc Nhà n</w:t>
      </w:r>
      <w:r>
        <w:rPr>
          <w:rFonts w:ascii="Times New Roman" w:hAnsi="Times New Roman" w:cs="Times New Roman" w:eastAsia="Times New Roman"/>
          <w:color w:val="000000"/>
          <w:spacing w:val="0"/>
          <w:position w:val="0"/>
          <w:sz w:val="28"/>
          <w:shd w:fill="auto" w:val="clear"/>
        </w:rPr>
        <w:t xml:space="preserve">ước; Kho bạc Nhà nước các tỉnh, thành phố trực thuộc trung ương.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Sở Tài chính các tỉnh, thành phố trực thuộc trung </w:t>
      </w:r>
      <w:r>
        <w:rPr>
          <w:rFonts w:ascii="Times New Roman" w:hAnsi="Times New Roman" w:cs="Times New Roman" w:eastAsia="Times New Roman"/>
          <w:color w:val="000000"/>
          <w:spacing w:val="0"/>
          <w:position w:val="0"/>
          <w:sz w:val="28"/>
          <w:shd w:fill="auto" w:val="clear"/>
        </w:rPr>
        <w:t xml:space="preserve">ương.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Các tổ chức, cá nhân liên quan </w:t>
      </w:r>
      <w:r>
        <w:rPr>
          <w:rFonts w:ascii="Times New Roman" w:hAnsi="Times New Roman" w:cs="Times New Roman" w:eastAsia="Times New Roman"/>
          <w:color w:val="000000"/>
          <w:spacing w:val="0"/>
          <w:position w:val="0"/>
          <w:sz w:val="28"/>
          <w:shd w:fill="auto" w:val="clear"/>
        </w:rPr>
        <w:t xml:space="preserve">đến hoạt động tạm ứng, vay ngân quỹ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Chi phí sử dụng ngân quỹ nh</w:t>
      </w:r>
      <w:r>
        <w:rPr>
          <w:rFonts w:ascii="Times New Roman" w:hAnsi="Times New Roman" w:cs="Times New Roman" w:eastAsia="Times New Roman"/>
          <w:b/>
          <w:color w:val="auto"/>
          <w:spacing w:val="0"/>
          <w:position w:val="0"/>
          <w:sz w:val="28"/>
          <w:shd w:fill="auto" w:val="clear"/>
        </w:rPr>
        <w:t xml:space="preserve">à n</w:t>
      </w:r>
      <w:r>
        <w:rPr>
          <w:rFonts w:ascii="Times New Roman" w:hAnsi="Times New Roman" w:cs="Times New Roman" w:eastAsia="Times New Roman"/>
          <w:b/>
          <w:color w:val="auto"/>
          <w:spacing w:val="0"/>
          <w:position w:val="0"/>
          <w:sz w:val="28"/>
          <w:shd w:fill="auto" w:val="clear"/>
        </w:rPr>
        <w:t xml:space="preserve">ước và chi phí sử dụng ngân quỹ nhà nước quá hạn</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Chi phí sử dụng ngân quỹ nhà n</w:t>
      </w:r>
      <w:r>
        <w:rPr>
          <w:rFonts w:ascii="Times New Roman" w:hAnsi="Times New Roman" w:cs="Times New Roman" w:eastAsia="Times New Roman"/>
          <w:color w:val="000000"/>
          <w:spacing w:val="0"/>
          <w:position w:val="0"/>
          <w:sz w:val="28"/>
          <w:shd w:fill="auto" w:val="clear"/>
        </w:rPr>
        <w:t xml:space="preserve">ước</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Ngân sách trung </w:t>
      </w:r>
      <w:r>
        <w:rPr>
          <w:rFonts w:ascii="Times New Roman" w:hAnsi="Times New Roman" w:cs="Times New Roman" w:eastAsia="Times New Roman"/>
          <w:color w:val="000000"/>
          <w:spacing w:val="0"/>
          <w:position w:val="0"/>
          <w:sz w:val="28"/>
          <w:shd w:fill="auto" w:val="clear"/>
        </w:rPr>
        <w:t xml:space="preserve">ương và ngân sách cấp tỉnh khi tạm ứng, vay ngân quỹ nhà nước có trách nhiệm thanh toán khoản chi phí sử dụng ngân quỹ nhà nước cho Kho bạc Nhà nước định kỳ hàng tháng với mức là 0,10%/tháng (trên cơ sở một tháng có 30 ngày) chậm nhất vào ngày 10 của tháng liền kề sau tháng phải thanh toán và được xác định như sau:</w:t>
      </w:r>
    </w:p>
    <w:tbl>
      <w:tblPr/>
      <w:tblGrid>
        <w:gridCol w:w="2410"/>
        <w:gridCol w:w="425"/>
        <w:gridCol w:w="1701"/>
        <w:gridCol w:w="425"/>
        <w:gridCol w:w="993"/>
        <w:gridCol w:w="426"/>
        <w:gridCol w:w="2835"/>
      </w:tblGrid>
      <w:tr>
        <w:trPr>
          <w:trHeight w:val="1" w:hRule="atLeast"/>
          <w:jc w:val="center"/>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Chi phí sử dụng ngân quỹ nhà n</w:t>
            </w:r>
            <w:r>
              <w:rPr>
                <w:rFonts w:ascii="Cambria" w:hAnsi="Cambria" w:cs="Cambria" w:eastAsia="Cambria"/>
                <w:color w:val="000000"/>
                <w:spacing w:val="0"/>
                <w:position w:val="0"/>
                <w:sz w:val="28"/>
                <w:shd w:fill="auto" w:val="clear"/>
              </w:rPr>
              <w:t xml:space="preserve">ước </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w:t>
            </w: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Số d</w:t>
            </w:r>
            <w:r>
              <w:rPr>
                <w:rFonts w:ascii="Cambria" w:hAnsi="Cambria" w:cs="Cambria" w:eastAsia="Cambria"/>
                <w:color w:val="000000"/>
                <w:spacing w:val="0"/>
                <w:position w:val="0"/>
                <w:sz w:val="28"/>
                <w:shd w:fill="auto" w:val="clear"/>
              </w:rPr>
              <w:t xml:space="preserve">ư nợ </w:t>
            </w:r>
            <w:r>
              <w:rPr>
                <w:rFonts w:ascii="Times New Roman" w:hAnsi="Times New Roman" w:cs="Times New Roman" w:eastAsia="Times New Roman"/>
                <w:color w:val="000000"/>
                <w:spacing w:val="0"/>
                <w:position w:val="0"/>
                <w:sz w:val="28"/>
                <w:shd w:fill="auto" w:val="clear"/>
              </w:rPr>
              <w:t xml:space="preserve">tạm ứng, vay</w:t>
            </w:r>
          </w:p>
        </w:tc>
        <w:tc>
          <w:tcPr>
            <w:tcW w:w="4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w:t>
            </w:r>
          </w:p>
        </w:tc>
        <w:tc>
          <w:tcPr>
            <w:tcW w:w="99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4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w:t>
            </w:r>
          </w:p>
        </w:tc>
        <w:tc>
          <w:tcPr>
            <w:tcW w:w="2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33" w:left="0" w:firstLine="0"/>
              <w:jc w:val="center"/>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Số ngày </w:t>
            </w:r>
            <w:r>
              <w:rPr>
                <w:rFonts w:ascii="Times New Roman" w:hAnsi="Times New Roman" w:cs="Times New Roman" w:eastAsia="Times New Roman"/>
                <w:color w:val="000000"/>
                <w:spacing w:val="0"/>
                <w:position w:val="0"/>
                <w:sz w:val="28"/>
                <w:shd w:fill="auto" w:val="clear"/>
              </w:rPr>
              <w:t xml:space="preserve">tạm ứng, vay</w:t>
            </w:r>
          </w:p>
          <w:p>
            <w:pPr>
              <w:spacing w:before="0" w:after="0" w:line="240"/>
              <w:ind w:right="-108" w:left="-251" w:firstLine="0"/>
              <w:jc w:val="center"/>
              <w:rPr>
                <w:spacing w:val="0"/>
                <w:position w:val="0"/>
                <w:shd w:fill="auto" w:val="clear"/>
              </w:rPr>
            </w:pPr>
            <w:r>
              <w:rPr>
                <w:rFonts w:ascii="Cambria" w:hAnsi="Cambria" w:cs="Cambria" w:eastAsia="Cambria"/>
                <w:color w:val="000000"/>
                <w:spacing w:val="0"/>
                <w:position w:val="0"/>
                <w:sz w:val="28"/>
                <w:shd w:fill="auto" w:val="clear"/>
              </w:rPr>
              <w:t xml:space="preserve">thực tế trong tháng</w:t>
            </w:r>
          </w:p>
        </w:tc>
      </w:tr>
    </w:tbl>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Trong </w:t>
      </w:r>
      <w:r>
        <w:rPr>
          <w:rFonts w:ascii="Times New Roman" w:hAnsi="Times New Roman" w:cs="Times New Roman" w:eastAsia="Times New Roman"/>
          <w:color w:val="000000"/>
          <w:spacing w:val="0"/>
          <w:position w:val="0"/>
          <w:sz w:val="28"/>
          <w:shd w:fill="auto" w:val="clear"/>
        </w:rPr>
        <w:t xml:space="preserve">đó, số ng</w:t>
      </w:r>
      <w:r>
        <w:rPr>
          <w:rFonts w:ascii="Times New Roman" w:hAnsi="Times New Roman" w:cs="Times New Roman" w:eastAsia="Times New Roman"/>
          <w:color w:val="000000"/>
          <w:spacing w:val="0"/>
          <w:position w:val="0"/>
          <w:sz w:val="28"/>
          <w:shd w:fill="auto" w:val="clear"/>
        </w:rPr>
        <w:t xml:space="preserve">ày tạm ứng, vay thực tế trong tháng (bao gồm cả ngày nghỉ, ngày lễ) </w:t>
      </w:r>
      <w:r>
        <w:rPr>
          <w:rFonts w:ascii="Times New Roman" w:hAnsi="Times New Roman" w:cs="Times New Roman" w:eastAsia="Times New Roman"/>
          <w:color w:val="000000"/>
          <w:spacing w:val="0"/>
          <w:position w:val="0"/>
          <w:sz w:val="28"/>
          <w:shd w:fill="auto" w:val="clear"/>
        </w:rPr>
        <w:t xml:space="preserve">được tính từ ng</w:t>
      </w:r>
      <w:r>
        <w:rPr>
          <w:rFonts w:ascii="Times New Roman" w:hAnsi="Times New Roman" w:cs="Times New Roman" w:eastAsia="Times New Roman"/>
          <w:color w:val="000000"/>
          <w:spacing w:val="0"/>
          <w:position w:val="0"/>
          <w:sz w:val="28"/>
          <w:shd w:fill="auto" w:val="clear"/>
        </w:rPr>
        <w:t xml:space="preserve">ày rút vốn (</w:t>
      </w:r>
      <w:r>
        <w:rPr>
          <w:rFonts w:ascii="Times New Roman" w:hAnsi="Times New Roman" w:cs="Times New Roman" w:eastAsia="Times New Roman"/>
          <w:color w:val="000000"/>
          <w:spacing w:val="0"/>
          <w:position w:val="0"/>
          <w:sz w:val="28"/>
          <w:shd w:fill="auto" w:val="clear"/>
        </w:rPr>
        <w:t xml:space="preserve">đối với kỳ tính khoản chi phí sử dụng ngân quỹ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đầu tiên) hoặc ngày đầu tiên của tháng (đối với các kỳ tính khoản chi phí sử dụng ngân quỹ nhà nước tiếp theo) đến hết ngày cuối cùng của tháng tính khoản chi phí sử dụng ngân quỹ nhà nước hoặc ngày liền kề trước ngày hoàn trả khoản tạm ứng, vay ngân quỹ nhà nước (đối với kỳ tính khoản chi phí sử dụng ngân quỹ nhà nước cuối cùng). </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Chi phí sử dụng ngân quỹ nhà n</w:t>
      </w:r>
      <w:r>
        <w:rPr>
          <w:rFonts w:ascii="Times New Roman" w:hAnsi="Times New Roman" w:cs="Times New Roman" w:eastAsia="Times New Roman"/>
          <w:color w:val="000000"/>
          <w:spacing w:val="0"/>
          <w:position w:val="0"/>
          <w:sz w:val="28"/>
          <w:shd w:fill="auto" w:val="clear"/>
        </w:rPr>
        <w:t xml:space="preserve">ước quá hạn</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w:t>
      </w:r>
      <w:r>
        <w:rPr>
          <w:rFonts w:ascii="Times New Roman" w:hAnsi="Times New Roman" w:cs="Times New Roman" w:eastAsia="Times New Roman"/>
          <w:color w:val="000000"/>
          <w:spacing w:val="0"/>
          <w:position w:val="0"/>
          <w:sz w:val="28"/>
          <w:shd w:fill="auto" w:val="clear"/>
        </w:rPr>
        <w:t xml:space="preserve">ường hợp ngân sách trung ương và ngân sách cấp tỉnh sử dụng khoản tạm ứng, vay ngân quỹ nhà nước quá thời hạn hoàn trả, ngân sách trung ương và ngân sách cấp tỉnh có trách nhiệm thanh toán khoản chi phí sử dụng ngân quỹ nhà nước quá hạn theo mức bằng 150% mức chi phí sử dụng ngân quỹ nhà nước quy định tại Khoản 1 Điều này. Chi phí sử dụng ngân quỹ nhà nước quá hạn được thanh toán một lần cho Kho bạc Nhà nước khi thu hồi khoản tạm ứng, vay quá hạn và được xác định như sau:</w:t>
      </w:r>
    </w:p>
    <w:tbl>
      <w:tblPr/>
      <w:tblGrid>
        <w:gridCol w:w="2835"/>
        <w:gridCol w:w="284"/>
        <w:gridCol w:w="1701"/>
        <w:gridCol w:w="283"/>
        <w:gridCol w:w="992"/>
        <w:gridCol w:w="284"/>
        <w:gridCol w:w="987"/>
        <w:gridCol w:w="1565"/>
      </w:tblGrid>
      <w:tr>
        <w:trPr>
          <w:trHeight w:val="1531" w:hRule="auto"/>
          <w:jc w:val="center"/>
        </w:trPr>
        <w:tc>
          <w:tcPr>
            <w:tcW w:w="2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459"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Chi phí sử dụng</w:t>
            </w:r>
          </w:p>
          <w:p>
            <w:pPr>
              <w:spacing w:before="0" w:after="0" w:line="240"/>
              <w:ind w:right="0" w:left="459"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ngân quỹ nhà n</w:t>
            </w:r>
            <w:r>
              <w:rPr>
                <w:rFonts w:ascii="Times New Roman" w:hAnsi="Times New Roman" w:cs="Times New Roman" w:eastAsia="Times New Roman"/>
                <w:color w:val="000000"/>
                <w:spacing w:val="0"/>
                <w:position w:val="0"/>
                <w:sz w:val="28"/>
                <w:shd w:fill="auto" w:val="clear"/>
              </w:rPr>
              <w:t xml:space="preserve">ước</w:t>
            </w:r>
          </w:p>
          <w:p>
            <w:pPr>
              <w:spacing w:before="0" w:after="0" w:line="240"/>
              <w:ind w:right="0" w:left="459"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quá hạn</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Số d</w:t>
            </w:r>
            <w:r>
              <w:rPr>
                <w:rFonts w:ascii="Times New Roman" w:hAnsi="Times New Roman" w:cs="Times New Roman" w:eastAsia="Times New Roman"/>
                <w:color w:val="000000"/>
                <w:spacing w:val="0"/>
                <w:position w:val="0"/>
                <w:sz w:val="28"/>
                <w:shd w:fill="auto" w:val="clear"/>
              </w:rPr>
              <w:t xml:space="preserve">ư nợ tạm ứng, vay quá hạn</w:t>
            </w:r>
          </w:p>
        </w:tc>
        <w:tc>
          <w:tcPr>
            <w:tcW w:w="2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108" w:left="-25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9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120" w:after="120" w:line="240"/>
              <w:ind w:right="0" w:left="-250" w:firstLine="0"/>
              <w:jc w:val="center"/>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center"/>
              <w:rPr>
                <w:color w:val="auto"/>
                <w:spacing w:val="0"/>
                <w:position w:val="0"/>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108"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113"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150% ×</w:t>
            </w:r>
          </w:p>
        </w:tc>
        <w:tc>
          <w:tcPr>
            <w:tcW w:w="15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108" w:left="-108"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ngày</w:t>
            </w:r>
          </w:p>
          <w:p>
            <w:pPr>
              <w:spacing w:before="0" w:after="0" w:line="240"/>
              <w:ind w:right="-108" w:left="-108"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tạm ứng, vay</w:t>
            </w:r>
          </w:p>
          <w:p>
            <w:pPr>
              <w:spacing w:before="0" w:after="0" w:line="240"/>
              <w:ind w:right="-108" w:left="-108"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quá hạn</w:t>
            </w:r>
          </w:p>
        </w:tc>
      </w:tr>
    </w:tbl>
    <w:p>
      <w:pPr>
        <w:tabs>
          <w:tab w:val="left" w:pos="993" w:leader="none"/>
        </w:tabs>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Trong </w:t>
      </w:r>
      <w:r>
        <w:rPr>
          <w:rFonts w:ascii="Times New Roman" w:hAnsi="Times New Roman" w:cs="Times New Roman" w:eastAsia="Times New Roman"/>
          <w:color w:val="000000"/>
          <w:spacing w:val="0"/>
          <w:position w:val="0"/>
          <w:sz w:val="28"/>
          <w:shd w:fill="auto" w:val="clear"/>
        </w:rPr>
        <w:t xml:space="preserve">đó, số ng</w:t>
      </w:r>
      <w:r>
        <w:rPr>
          <w:rFonts w:ascii="Times New Roman" w:hAnsi="Times New Roman" w:cs="Times New Roman" w:eastAsia="Times New Roman"/>
          <w:color w:val="000000"/>
          <w:spacing w:val="0"/>
          <w:position w:val="0"/>
          <w:sz w:val="28"/>
          <w:shd w:fill="auto" w:val="clear"/>
        </w:rPr>
        <w:t xml:space="preserve">ày tạm ứng, vay quá hạn (bao gồm cả ngày nghỉ, ngày lễ) </w:t>
      </w:r>
      <w:r>
        <w:rPr>
          <w:rFonts w:ascii="Times New Roman" w:hAnsi="Times New Roman" w:cs="Times New Roman" w:eastAsia="Times New Roman"/>
          <w:color w:val="000000"/>
          <w:spacing w:val="0"/>
          <w:position w:val="0"/>
          <w:sz w:val="28"/>
          <w:shd w:fill="auto" w:val="clear"/>
        </w:rPr>
        <w:t xml:space="preserve">được tính từ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đến hạn ho</w:t>
      </w:r>
      <w:r>
        <w:rPr>
          <w:rFonts w:ascii="Times New Roman" w:hAnsi="Times New Roman" w:cs="Times New Roman" w:eastAsia="Times New Roman"/>
          <w:color w:val="000000"/>
          <w:spacing w:val="0"/>
          <w:position w:val="0"/>
          <w:sz w:val="28"/>
          <w:shd w:fill="auto" w:val="clear"/>
        </w:rPr>
        <w:t xml:space="preserve">àn trả khoản tạm ứng, vay ngân quỹ nhà n</w:t>
      </w:r>
      <w:r>
        <w:rPr>
          <w:rFonts w:ascii="Times New Roman" w:hAnsi="Times New Roman" w:cs="Times New Roman" w:eastAsia="Times New Roman"/>
          <w:color w:val="000000"/>
          <w:spacing w:val="0"/>
          <w:position w:val="0"/>
          <w:sz w:val="28"/>
          <w:shd w:fill="auto" w:val="clear"/>
        </w:rPr>
        <w:t xml:space="preserve">ước mà không hoàn trả đến hết ngày liền kề trước ngày thực trả khoản tạm ứng, vay quá hạn.</w:t>
      </w:r>
    </w:p>
    <w:p>
      <w:pPr>
        <w:tabs>
          <w:tab w:val="left" w:pos="993" w:leader="none"/>
        </w:tabs>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Tr</w:t>
      </w:r>
      <w:r>
        <w:rPr>
          <w:rFonts w:ascii="Times New Roman" w:hAnsi="Times New Roman" w:cs="Times New Roman" w:eastAsia="Times New Roman"/>
          <w:color w:val="000000"/>
          <w:spacing w:val="0"/>
          <w:position w:val="0"/>
          <w:sz w:val="28"/>
          <w:shd w:fill="auto" w:val="clear"/>
        </w:rPr>
        <w:t xml:space="preserve">ường hợp khoản tạm ứng, vay ngân quỹ nhà nước đ</w:t>
      </w:r>
      <w:r>
        <w:rPr>
          <w:rFonts w:ascii="Times New Roman" w:hAnsi="Times New Roman" w:cs="Times New Roman" w:eastAsia="Times New Roman"/>
          <w:color w:val="000000"/>
          <w:spacing w:val="0"/>
          <w:position w:val="0"/>
          <w:sz w:val="28"/>
          <w:shd w:fill="auto" w:val="clear"/>
        </w:rPr>
        <w:t xml:space="preserve">ã quá hạn nh</w:t>
      </w:r>
      <w:r>
        <w:rPr>
          <w:rFonts w:ascii="Times New Roman" w:hAnsi="Times New Roman" w:cs="Times New Roman" w:eastAsia="Times New Roman"/>
          <w:color w:val="000000"/>
          <w:spacing w:val="0"/>
          <w:position w:val="0"/>
          <w:sz w:val="28"/>
          <w:shd w:fill="auto" w:val="clear"/>
        </w:rPr>
        <w:t xml:space="preserve">ưng được Bộ Tài chính gia hạn th</w:t>
      </w:r>
      <w:r>
        <w:rPr>
          <w:rFonts w:ascii="Times New Roman" w:hAnsi="Times New Roman" w:cs="Times New Roman" w:eastAsia="Times New Roman"/>
          <w:color w:val="000000"/>
          <w:spacing w:val="0"/>
          <w:position w:val="0"/>
          <w:sz w:val="28"/>
          <w:shd w:fill="auto" w:val="clear"/>
        </w:rPr>
        <w:t xml:space="preserve">ì </w:t>
      </w:r>
      <w:r>
        <w:rPr>
          <w:rFonts w:ascii="Times New Roman" w:hAnsi="Times New Roman" w:cs="Times New Roman" w:eastAsia="Times New Roman"/>
          <w:color w:val="000000"/>
          <w:spacing w:val="0"/>
          <w:position w:val="0"/>
          <w:sz w:val="28"/>
          <w:shd w:fill="auto" w:val="clear"/>
        </w:rPr>
        <w:t xml:space="preserve">được áp dụng mức chi phí sử dụng ngân quỹ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quy định tại Khoản 1 Điều này cho đến hết thời gian được gia hạn.</w:t>
      </w:r>
    </w:p>
    <w:p>
      <w:pPr>
        <w:tabs>
          <w:tab w:val="left" w:pos="993" w:leader="none"/>
        </w:tabs>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Điều khoản chuyển tiếp</w:t>
      </w:r>
    </w:p>
    <w:p>
      <w:pPr>
        <w:tabs>
          <w:tab w:val="left" w:pos="709" w:leader="none"/>
          <w:tab w:val="left" w:pos="993" w:leader="none"/>
        </w:tabs>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Các khoản tạm ứng ngân quỹ nhà n</w:t>
      </w:r>
      <w:r>
        <w:rPr>
          <w:rFonts w:ascii="Times New Roman" w:hAnsi="Times New Roman" w:cs="Times New Roman" w:eastAsia="Times New Roman"/>
          <w:color w:val="000000"/>
          <w:spacing w:val="0"/>
          <w:position w:val="0"/>
          <w:sz w:val="28"/>
          <w:shd w:fill="auto" w:val="clear"/>
        </w:rPr>
        <w:t xml:space="preserve">ước của ngân sách trung ương và ngân sách cấp tỉnh được phê duyệt trước ngày Thông tư này có hiệu lực thi hành nhưng thực hiện rút vốn sau ngày Thông tư này có hiệu lực thi hành được áp dụng mức chi phí sử dụng ngân quỹ nhà nước và chi phí sử dụng ngân quỹ nhà nước quá hạn (nếu có) theo quy định tại Thông tư này.</w:t>
      </w:r>
    </w:p>
    <w:p>
      <w:pPr>
        <w:tabs>
          <w:tab w:val="left" w:pos="709" w:leader="none"/>
          <w:tab w:val="left" w:pos="993" w:leader="none"/>
        </w:tabs>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D</w:t>
      </w:r>
      <w:r>
        <w:rPr>
          <w:rFonts w:ascii="Times New Roman" w:hAnsi="Times New Roman" w:cs="Times New Roman" w:eastAsia="Times New Roman"/>
          <w:color w:val="000000"/>
          <w:spacing w:val="0"/>
          <w:position w:val="0"/>
          <w:sz w:val="28"/>
          <w:shd w:fill="auto" w:val="clear"/>
        </w:rPr>
        <w:t xml:space="preserve">ư nợ vay ngân quỹ nhà nước của ngân sách trung ương được áp dụng mức chi phí sử dụng ngân quỹ nhà nước và chi phí sử dụng ngân quỹ nhà nước quá hạn (nếu có) theo quy định tại Thông tư này.</w:t>
      </w:r>
    </w:p>
    <w:p>
      <w:pPr>
        <w:tabs>
          <w:tab w:val="left" w:pos="993" w:leader="none"/>
        </w:tabs>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Hiệu lực thi h</w:t>
      </w:r>
      <w:r>
        <w:rPr>
          <w:rFonts w:ascii="Times New Roman" w:hAnsi="Times New Roman" w:cs="Times New Roman" w:eastAsia="Times New Roman"/>
          <w:b/>
          <w:color w:val="auto"/>
          <w:spacing w:val="0"/>
          <w:position w:val="0"/>
          <w:sz w:val="28"/>
          <w:shd w:fill="auto" w:val="clear"/>
        </w:rPr>
        <w:t xml:space="preserve">ành</w:t>
      </w:r>
    </w:p>
    <w:p>
      <w:pPr>
        <w:numPr>
          <w:ilvl w:val="0"/>
          <w:numId w:val="35"/>
        </w:numPr>
        <w:tabs>
          <w:tab w:val="left" w:pos="993" w:leader="none"/>
        </w:tabs>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có hiệu lực thi hành kể từ ngày 01 tháng 5 năm 2019. </w:t>
      </w:r>
    </w:p>
    <w:p>
      <w:pPr>
        <w:numPr>
          <w:ilvl w:val="0"/>
          <w:numId w:val="35"/>
        </w:numPr>
        <w:tabs>
          <w:tab w:val="left" w:pos="993" w:leader="none"/>
        </w:tabs>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Bãi bỏ quy </w:t>
      </w:r>
      <w:r>
        <w:rPr>
          <w:rFonts w:ascii="Times New Roman" w:hAnsi="Times New Roman" w:cs="Times New Roman" w:eastAsia="Times New Roman"/>
          <w:color w:val="auto"/>
          <w:spacing w:val="0"/>
          <w:position w:val="0"/>
          <w:sz w:val="28"/>
          <w:shd w:fill="auto" w:val="clear"/>
        </w:rPr>
        <w:t xml:space="preserve">định về chi phí sử dụng ngân quỹ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và chi phí sử dụng ngân quỹ nhà nước quá hạn tại Khoản 5, Điều 1 Thông tư số 06/2018/TT-BTC ngày 24 tháng 01 năm 2018 của Bộ Tài chính sửa đổi, bổ sung một số điều của Thông tư số 30/2017/TT-BTC ngày 18 tháng 4 năm 2017 của Bộ Tài chính quy định tạm ứng </w:t>
      </w:r>
      <w:r>
        <w:rPr>
          <w:rFonts w:ascii="Times New Roman" w:hAnsi="Times New Roman" w:cs="Times New Roman" w:eastAsia="Times New Roman"/>
          <w:color w:val="000000"/>
          <w:spacing w:val="0"/>
          <w:position w:val="0"/>
          <w:sz w:val="28"/>
          <w:shd w:fill="auto" w:val="clear"/>
        </w:rPr>
        <w:t xml:space="preserve">ngân quỹ nhà nước</w:t>
      </w:r>
      <w:r>
        <w:rPr>
          <w:rFonts w:ascii="Times New Roman" w:hAnsi="Times New Roman" w:cs="Times New Roman" w:eastAsia="Times New Roman"/>
          <w:color w:val="auto"/>
          <w:spacing w:val="0"/>
          <w:position w:val="0"/>
          <w:sz w:val="28"/>
          <w:shd w:fill="auto" w:val="clear"/>
        </w:rPr>
        <w:t xml:space="preserve"> cho ngân sách nhà nước.</w:t>
      </w:r>
    </w:p>
    <w:p>
      <w:pPr>
        <w:numPr>
          <w:ilvl w:val="0"/>
          <w:numId w:val="35"/>
        </w:numPr>
        <w:tabs>
          <w:tab w:val="left" w:pos="993" w:leader="none"/>
        </w:tabs>
        <w:spacing w:before="120" w:after="120" w:line="240"/>
        <w:ind w:right="0" w:left="0" w:firstLine="720"/>
        <w:jc w:val="both"/>
        <w:rPr>
          <w:rFonts w:ascii="Cambria" w:hAnsi="Cambria" w:cs="Cambria" w:eastAsia="Cambria"/>
          <w:color w:val="000000"/>
          <w:spacing w:val="0"/>
          <w:position w:val="0"/>
          <w:sz w:val="28"/>
          <w:shd w:fill="FFFFFF" w:val="clear"/>
        </w:rPr>
      </w:pPr>
      <w:r>
        <w:rPr>
          <w:rFonts w:ascii="Cambria" w:hAnsi="Cambria" w:cs="Cambria" w:eastAsia="Cambria"/>
          <w:color w:val="000000"/>
          <w:spacing w:val="0"/>
          <w:position w:val="0"/>
          <w:sz w:val="28"/>
          <w:shd w:fill="FFFFFF" w:val="clear"/>
        </w:rPr>
        <w:t xml:space="preserve">Kho bạc Nhà n</w:t>
      </w:r>
      <w:r>
        <w:rPr>
          <w:rFonts w:ascii="Cambria" w:hAnsi="Cambria" w:cs="Cambria" w:eastAsia="Cambria"/>
          <w:color w:val="000000"/>
          <w:spacing w:val="0"/>
          <w:position w:val="0"/>
          <w:sz w:val="28"/>
          <w:shd w:fill="FFFFFF" w:val="clear"/>
        </w:rPr>
        <w:t xml:space="preserve">ước và các cơ quan, đơn vị, tổ chức và cá nhân có liên quan chịu trách nhiệm thi hành Thông tư này./.</w:t>
      </w:r>
    </w:p>
    <w:tbl>
      <w:tblPr/>
      <w:tblGrid>
        <w:gridCol w:w="5104"/>
        <w:gridCol w:w="4536"/>
      </w:tblGrid>
      <w:tr>
        <w:trPr>
          <w:trHeight w:val="1" w:hRule="atLeast"/>
          <w:jc w:val="left"/>
        </w:trPr>
        <w:tc>
          <w:tcPr>
            <w:tcW w:w="51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N</w:t>
            </w:r>
            <w:r>
              <w:rPr>
                <w:rFonts w:ascii="Times New Roman" w:hAnsi="Times New Roman" w:cs="Times New Roman" w:eastAsia="Times New Roman"/>
                <w:b/>
                <w:i/>
                <w:color w:val="000000"/>
                <w:spacing w:val="0"/>
                <w:position w:val="0"/>
                <w:sz w:val="24"/>
                <w:shd w:fill="auto" w:val="clear"/>
              </w:rPr>
              <w:t xml:space="preserve">ơi nhận: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Ban Bí th</w:t>
            </w:r>
            <w:r>
              <w:rPr>
                <w:rFonts w:ascii="Times New Roman" w:hAnsi="Times New Roman" w:cs="Times New Roman" w:eastAsia="Times New Roman"/>
                <w:color w:val="000000"/>
                <w:spacing w:val="0"/>
                <w:position w:val="0"/>
                <w:sz w:val="22"/>
                <w:shd w:fill="auto" w:val="clear"/>
              </w:rPr>
              <w:t xml:space="preserve">ư Trung ương Đảng;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Thủ t</w:t>
            </w:r>
            <w:r>
              <w:rPr>
                <w:rFonts w:ascii="Times New Roman" w:hAnsi="Times New Roman" w:cs="Times New Roman" w:eastAsia="Times New Roman"/>
                <w:color w:val="000000"/>
                <w:spacing w:val="0"/>
                <w:position w:val="0"/>
                <w:sz w:val="22"/>
                <w:shd w:fill="auto" w:val="clear"/>
              </w:rPr>
              <w:t xml:space="preserve">ướng, các Phó Thủ tướng Chính phủ;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Tổng Bí th</w:t>
            </w:r>
            <w:r>
              <w:rPr>
                <w:rFonts w:ascii="Times New Roman" w:hAnsi="Times New Roman" w:cs="Times New Roman" w:eastAsia="Times New Roman"/>
                <w:color w:val="000000"/>
                <w:spacing w:val="0"/>
                <w:position w:val="0"/>
                <w:sz w:val="22"/>
                <w:shd w:fill="auto" w:val="clear"/>
              </w:rPr>
              <w:t xml:space="preserve">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Chủ tịch n</w:t>
            </w:r>
            <w:r>
              <w:rPr>
                <w:rFonts w:ascii="Times New Roman" w:hAnsi="Times New Roman" w:cs="Times New Roman" w:eastAsia="Times New Roman"/>
                <w:color w:val="000000"/>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Trung </w:t>
            </w:r>
            <w:r>
              <w:rPr>
                <w:rFonts w:ascii="Times New Roman" w:hAnsi="Times New Roman" w:cs="Times New Roman" w:eastAsia="Times New Roman"/>
                <w:color w:val="000000"/>
                <w:spacing w:val="0"/>
                <w:position w:val="0"/>
                <w:sz w:val="22"/>
                <w:shd w:fill="auto" w:val="clear"/>
              </w:rPr>
              <w:t xml:space="preserve">ương và các Ban của Đảng;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Quốc hội;</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Hội </w:t>
            </w:r>
            <w:r>
              <w:rPr>
                <w:rFonts w:ascii="Times New Roman" w:hAnsi="Times New Roman" w:cs="Times New Roman" w:eastAsia="Times New Roman"/>
                <w:color w:val="000000"/>
                <w:spacing w:val="0"/>
                <w:position w:val="0"/>
                <w:sz w:val="22"/>
                <w:shd w:fill="auto" w:val="clear"/>
              </w:rPr>
              <w:t xml:space="preserve">đồng dân tộc v</w:t>
            </w:r>
            <w:r>
              <w:rPr>
                <w:rFonts w:ascii="Times New Roman" w:hAnsi="Times New Roman" w:cs="Times New Roman" w:eastAsia="Times New Roman"/>
                <w:color w:val="000000"/>
                <w:spacing w:val="0"/>
                <w:position w:val="0"/>
                <w:sz w:val="22"/>
                <w:shd w:fill="auto" w:val="clear"/>
              </w:rPr>
              <w:t xml:space="preserve">à các Ủy ban của Quốc hội;</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Chính phủ;</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Ban Nội chính Trung </w:t>
            </w:r>
            <w:r>
              <w:rPr>
                <w:rFonts w:ascii="Times New Roman" w:hAnsi="Times New Roman" w:cs="Times New Roman" w:eastAsia="Times New Roman"/>
                <w:color w:val="000000"/>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Toà án nhân dân tối cao;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Viện kiểm sát nhân dân tối cao;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Kiểm toán Nhà n</w:t>
            </w:r>
            <w:r>
              <w:rPr>
                <w:rFonts w:ascii="Times New Roman" w:hAnsi="Times New Roman" w:cs="Times New Roman" w:eastAsia="Times New Roman"/>
                <w:color w:val="000000"/>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Các Bộ, c</w:t>
            </w:r>
            <w:r>
              <w:rPr>
                <w:rFonts w:ascii="Times New Roman" w:hAnsi="Times New Roman" w:cs="Times New Roman" w:eastAsia="Times New Roman"/>
                <w:color w:val="000000"/>
                <w:spacing w:val="0"/>
                <w:position w:val="0"/>
                <w:sz w:val="22"/>
                <w:shd w:fill="auto" w:val="clear"/>
              </w:rPr>
              <w:t xml:space="preserve">ơ quan ngang Bộ, cơ quan thuộc Chính phủ;</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w:t>
            </w:r>
            <w:r>
              <w:rPr>
                <w:rFonts w:ascii="Times New Roman" w:hAnsi="Times New Roman" w:cs="Times New Roman" w:eastAsia="Times New Roman"/>
                <w:color w:val="000000"/>
                <w:spacing w:val="0"/>
                <w:position w:val="0"/>
                <w:sz w:val="22"/>
                <w:shd w:fill="auto" w:val="clear"/>
              </w:rPr>
              <w:t xml:space="preserve">ơ quan Trung ương của các đoàn thể;</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Hội </w:t>
            </w:r>
            <w:r>
              <w:rPr>
                <w:rFonts w:ascii="Times New Roman" w:hAnsi="Times New Roman" w:cs="Times New Roman" w:eastAsia="Times New Roman"/>
                <w:color w:val="000000"/>
                <w:spacing w:val="0"/>
                <w:position w:val="0"/>
                <w:sz w:val="22"/>
                <w:shd w:fill="auto" w:val="clear"/>
              </w:rPr>
              <w:t xml:space="preserve">đồng nhân dân, Uỷ ban nhân dân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các tỉnh, thành phố trực thuộc Trung </w:t>
            </w:r>
            <w:r>
              <w:rPr>
                <w:rFonts w:ascii="Times New Roman" w:hAnsi="Times New Roman" w:cs="Times New Roman" w:eastAsia="Times New Roman"/>
                <w:color w:val="000000"/>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Sở Tài chính, Kho bạc Nhà n</w:t>
            </w:r>
            <w:r>
              <w:rPr>
                <w:rFonts w:ascii="Times New Roman" w:hAnsi="Times New Roman" w:cs="Times New Roman" w:eastAsia="Times New Roman"/>
                <w:color w:val="000000"/>
                <w:spacing w:val="0"/>
                <w:position w:val="0"/>
                <w:sz w:val="22"/>
                <w:shd w:fill="auto" w:val="clear"/>
              </w:rPr>
              <w:t xml:space="preserve">ước</w:t>
              <w:br/>
            </w:r>
            <w:r>
              <w:rPr>
                <w:rFonts w:ascii="Times New Roman" w:hAnsi="Times New Roman" w:cs="Times New Roman" w:eastAsia="Times New Roman"/>
                <w:color w:val="000000"/>
                <w:spacing w:val="0"/>
                <w:position w:val="0"/>
                <w:sz w:val="22"/>
                <w:shd w:fill="auto" w:val="clear"/>
              </w:rPr>
              <w:t xml:space="preserve">các tỉnh, thành phố trực thuộc Trung </w:t>
            </w:r>
            <w:r>
              <w:rPr>
                <w:rFonts w:ascii="Times New Roman" w:hAnsi="Times New Roman" w:cs="Times New Roman" w:eastAsia="Times New Roman"/>
                <w:color w:val="000000"/>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Cục Kiểm tra v</w:t>
            </w:r>
            <w:r>
              <w:rPr>
                <w:rFonts w:ascii="Times New Roman" w:hAnsi="Times New Roman" w:cs="Times New Roman" w:eastAsia="Times New Roman"/>
                <w:color w:val="000000"/>
                <w:spacing w:val="0"/>
                <w:position w:val="0"/>
                <w:sz w:val="22"/>
                <w:shd w:fill="auto" w:val="clear"/>
              </w:rPr>
              <w:t xml:space="preserve">ăn bản QPPL (Bộ Tư pháp);</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Công báo;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Cổng thông tin </w:t>
            </w:r>
            <w:r>
              <w:rPr>
                <w:rFonts w:ascii="Times New Roman" w:hAnsi="Times New Roman" w:cs="Times New Roman" w:eastAsia="Times New Roman"/>
                <w:color w:val="000000"/>
                <w:spacing w:val="0"/>
                <w:position w:val="0"/>
                <w:sz w:val="22"/>
                <w:shd w:fill="auto" w:val="clear"/>
              </w:rPr>
              <w:t xml:space="preserve">điện tử Chính phủ;</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Cổng thông tin </w:t>
            </w:r>
            <w:r>
              <w:rPr>
                <w:rFonts w:ascii="Times New Roman" w:hAnsi="Times New Roman" w:cs="Times New Roman" w:eastAsia="Times New Roman"/>
                <w:color w:val="000000"/>
                <w:spacing w:val="0"/>
                <w:position w:val="0"/>
                <w:sz w:val="22"/>
                <w:shd w:fill="auto" w:val="clear"/>
              </w:rPr>
              <w:t xml:space="preserve">điện tử Bộ T</w:t>
            </w:r>
            <w:r>
              <w:rPr>
                <w:rFonts w:ascii="Times New Roman" w:hAnsi="Times New Roman" w:cs="Times New Roman" w:eastAsia="Times New Roman"/>
                <w:color w:val="000000"/>
                <w:spacing w:val="0"/>
                <w:position w:val="0"/>
                <w:sz w:val="22"/>
                <w:shd w:fill="auto" w:val="clear"/>
              </w:rPr>
              <w:t xml:space="preserve">ài chính;</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Các </w:t>
            </w:r>
            <w:r>
              <w:rPr>
                <w:rFonts w:ascii="Times New Roman" w:hAnsi="Times New Roman" w:cs="Times New Roman" w:eastAsia="Times New Roman"/>
                <w:color w:val="000000"/>
                <w:spacing w:val="0"/>
                <w:position w:val="0"/>
                <w:sz w:val="22"/>
                <w:shd w:fill="auto" w:val="clear"/>
              </w:rPr>
              <w:t xml:space="preserve">đơn vị thuộc, trực thuộc Bộ T</w:t>
            </w:r>
            <w:r>
              <w:rPr>
                <w:rFonts w:ascii="Times New Roman" w:hAnsi="Times New Roman" w:cs="Times New Roman" w:eastAsia="Times New Roman"/>
                <w:color w:val="000000"/>
                <w:spacing w:val="0"/>
                <w:position w:val="0"/>
                <w:sz w:val="22"/>
                <w:shd w:fill="auto" w:val="clear"/>
              </w:rPr>
              <w:t xml:space="preserve">ài chính;</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 KBNN (375 bản).</w:t>
            </w:r>
          </w:p>
        </w:tc>
        <w:tc>
          <w:tcPr>
            <w:tcW w:w="4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KT. BỘ TR</w:t>
            </w:r>
            <w:r>
              <w:rPr>
                <w:rFonts w:ascii="Times New Roman" w:hAnsi="Times New Roman" w:cs="Times New Roman" w:eastAsia="Times New Roman"/>
                <w:b/>
                <w:color w:val="000000"/>
                <w:spacing w:val="0"/>
                <w:position w:val="0"/>
                <w:sz w:val="26"/>
                <w:shd w:fill="auto" w:val="clear"/>
              </w:rPr>
              <w:t xml:space="preserve">ƯỞNG</w:t>
            </w:r>
          </w:p>
          <w:p>
            <w:pPr>
              <w:spacing w:before="0" w:after="12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THỨ TR</w:t>
            </w:r>
            <w:r>
              <w:rPr>
                <w:rFonts w:ascii="Times New Roman" w:hAnsi="Times New Roman" w:cs="Times New Roman" w:eastAsia="Times New Roman"/>
                <w:b/>
                <w:color w:val="000000"/>
                <w:spacing w:val="0"/>
                <w:position w:val="0"/>
                <w:sz w:val="26"/>
                <w:shd w:fill="auto" w:val="clear"/>
              </w:rPr>
              <w:t xml:space="preserve">ƯỞNG</w:t>
            </w:r>
          </w:p>
          <w:p>
            <w:pPr>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120" w:after="120" w:line="240"/>
              <w:ind w:right="0" w:left="0" w:firstLine="0"/>
              <w:jc w:val="center"/>
              <w:rPr>
                <w:rFonts w:ascii="Times New Roman" w:hAnsi="Times New Roman" w:cs="Times New Roman" w:eastAsia="Times New Roman"/>
                <w:b/>
                <w:color w:val="000000"/>
                <w:spacing w:val="0"/>
                <w:position w:val="0"/>
                <w:sz w:val="26"/>
                <w:shd w:fill="auto" w:val="clear"/>
              </w:rPr>
            </w:pPr>
          </w:p>
          <w:p>
            <w:pPr>
              <w:spacing w:before="120" w:after="12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Đỗ Ho</w:t>
            </w:r>
            <w:r>
              <w:rPr>
                <w:rFonts w:ascii="Times New Roman" w:hAnsi="Times New Roman" w:cs="Times New Roman" w:eastAsia="Times New Roman"/>
                <w:b/>
                <w:color w:val="000000"/>
                <w:spacing w:val="0"/>
                <w:position w:val="0"/>
                <w:sz w:val="28"/>
                <w:shd w:fill="auto" w:val="clear"/>
              </w:rPr>
              <w:t xml:space="preserve">àng Anh Tuấn</w:t>
            </w:r>
          </w:p>
        </w:tc>
      </w:tr>
    </w:tbl>
    <w:p>
      <w:pPr>
        <w:spacing w:before="120" w:after="120" w:line="240"/>
        <w:ind w:right="0" w:left="0" w:firstLine="720"/>
        <w:jc w:val="both"/>
        <w:rPr>
          <w:rFonts w:ascii="Cambria" w:hAnsi="Cambria" w:cs="Cambria" w:eastAsia="Cambria"/>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